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E38B3" w:rsidTr="007E38B3">
        <w:trPr>
          <w:tblCellSpacing w:w="0" w:type="dxa"/>
          <w:jc w:val="center"/>
        </w:trPr>
        <w:tc>
          <w:tcPr>
            <w:tcW w:w="10500" w:type="dxa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7E38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020" w:type="dxa"/>
                    <w:jc w:val="center"/>
                    <w:tblCellSpacing w:w="15" w:type="dxa"/>
                    <w:tblBorders>
                      <w:top w:val="single" w:sz="8" w:space="0" w:color="D0D0D0"/>
                      <w:left w:val="single" w:sz="8" w:space="0" w:color="D0D0D0"/>
                      <w:bottom w:val="single" w:sz="8" w:space="0" w:color="D0D0D0"/>
                      <w:right w:val="single" w:sz="8" w:space="0" w:color="D0D0D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0"/>
                  </w:tblGrid>
                  <w:tr w:rsidR="007E38B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99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</w:tblGrid>
                        <w:tr w:rsidR="007E38B3">
                          <w:tc>
                            <w:tcPr>
                              <w:tcW w:w="0" w:type="auto"/>
                              <w:shd w:val="clear" w:color="auto" w:fill="F2F2F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7E38B3" w:rsidRDefault="007E38B3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6286500" cy="314325"/>
                                    <wp:effectExtent l="0" t="0" r="0" b="9525"/>
                                    <wp:docPr id="2" name="Picture 2" descr="http://wada-mailing-list.s3.amazonaws.com/images/bandeau_ente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ada-mailing-list.s3.amazonaws.com/images/bandeau_ente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2695575" cy="857250"/>
                                    <wp:effectExtent l="0" t="0" r="9525" b="0"/>
                                    <wp:docPr id="1" name="Picture 1" descr="AGENCE MONDIALE ANTIDOPAGE - WORD ANTI-DOPING AGENC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GENCE MONDIALE ANTIDOPAGE - WORD ANTI-DOPING AGENC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9557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E38B3">
                          <w:tc>
                            <w:tcPr>
                              <w:tcW w:w="0" w:type="auto"/>
                              <w:shd w:val="clear" w:color="auto" w:fill="F2F2F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7E38B3" w:rsidRDefault="007E38B3">
                              <w:pPr>
                                <w:spacing w:before="100" w:beforeAutospacing="1"/>
                                <w:ind w:left="300" w:right="300"/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8080"/>
                                </w:rPr>
                                <w:t>NEWS RELEASE / COMMUNIQUÉ</w:t>
                              </w:r>
                            </w:p>
                          </w:tc>
                        </w:tr>
                        <w:tr w:rsidR="007E38B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36" w:space="0" w:color="338700"/>
                                <w:right w:val="nil"/>
                              </w:tcBorders>
                              <w:shd w:val="clear" w:color="auto" w:fill="F2F2F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7E38B3" w:rsidRDefault="007E38B3">
                              <w:pPr>
                                <w:pStyle w:val="Heading1"/>
                                <w:spacing w:before="300" w:beforeAutospacing="0" w:after="300" w:afterAutospacing="0"/>
                                <w:ind w:left="300" w:right="30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  <w:t>WADA PUBLISHES 2017 PROHIBITED LIST</w:t>
                              </w:r>
                            </w:p>
                          </w:tc>
                        </w:tr>
                      </w:tbl>
                      <w:p w:rsidR="007E38B3" w:rsidRDefault="007E38B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38B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E38B3" w:rsidRDefault="007E38B3">
                        <w:pPr>
                          <w:spacing w:before="100" w:beforeAutospacing="1" w:after="100" w:afterAutospacing="1"/>
                        </w:pP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Strong"/>
                          </w:rPr>
                          <w:t>Montreal, 29 September 2016</w:t>
                        </w:r>
                        <w:r>
                          <w:br/>
                        </w:r>
                        <w:r>
                          <w:br/>
                          <w:t>Today, the World Anti-Doping Agency (WADA) publishes the</w:t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 w:rsidR="002822FF">
                          <w:fldChar w:fldCharType="begin"/>
                        </w:r>
                        <w:r w:rsidR="002822FF">
                          <w:instrText xml:space="preserve"> HYPERLINK "http://communications.wada-ama.org/app/crm/marketing/campaignlistener.nl?__lstr=__cl&amp;c=3519679&amp;__h=a531e61c3722534dea65&amp;__r=762862&amp;eou=aHR0cHM6Ly93YWRhLW1haW4tcHJvZC5zMy5hbWF6b25hd3MuY29tL3Jlc291cmNlcy9maWxlcy8yMDE2LTA5LTI5Xy1fd2FkYV9wcm9oaWJpd</w:instrText>
                        </w:r>
                        <w:r w:rsidR="002822FF">
                          <w:instrText xml:space="preserve">GVkX2xpc3RfMjAxN19lbmdfZmluYWwucGRm&amp;_od=aHR0cHM6Ly9mb3Jtcy5uYTEubmV0c3VpdGUuY29t" \t "_blank" </w:instrText>
                        </w:r>
                        <w:r w:rsidR="002822FF">
                          <w:fldChar w:fldCharType="separate"/>
                        </w:r>
                        <w:r>
                          <w:rPr>
                            <w:rStyle w:val="Strong"/>
                            <w:color w:val="0000FF"/>
                            <w:u w:val="single"/>
                          </w:rPr>
                          <w:t>2017 List of Prohibited Substances and Methods</w:t>
                        </w:r>
                        <w:r w:rsidR="002822FF">
                          <w:rPr>
                            <w:rStyle w:val="Strong"/>
                            <w:color w:val="0000FF"/>
                            <w:u w:val="single"/>
                          </w:rPr>
                          <w:fldChar w:fldCharType="end"/>
                        </w:r>
                        <w:r>
                          <w:t>; along with, the</w:t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 w:rsidR="002822FF">
                          <w:fldChar w:fldCharType="begin"/>
                        </w:r>
                        <w:r w:rsidR="002822FF">
                          <w:instrText xml:space="preserve"> HYPERLINK "http://communications.wada-ama.org/app/crm/marketing/campaignlistener.nl?__lstr=__c</w:instrText>
                        </w:r>
                        <w:r w:rsidR="002822FF">
                          <w:instrText>l&amp;c=3519679&amp;__h=a531e61c3722534dea65&amp;__r=762862&amp;eou=aHR0cHM6Ly93YWRhLW1haW4tcHJvZC5zMy5hbWF6b25hd3MuY29tL3Jlc291cmNlcy9maWxlcy8yMDE2LTA5LTI5Xy1fd2FkYV9zdW1tYXJ5X29mX21vZGlmaWNhdGlvbnNfZW5nX2ZpbmFsLnBkZg**&amp;_od=aHR0cHM6Ly9mb3Jtcy5uYTEubmV0c3VpdGUuY29t" \t "_</w:instrText>
                        </w:r>
                        <w:r w:rsidR="002822FF">
                          <w:instrText xml:space="preserve">blank" </w:instrText>
                        </w:r>
                        <w:r w:rsidR="002822FF">
                          <w:fldChar w:fldCharType="separate"/>
                        </w:r>
                        <w:r>
                          <w:rPr>
                            <w:rStyle w:val="Strong"/>
                            <w:color w:val="0000FF"/>
                            <w:u w:val="single"/>
                          </w:rPr>
                          <w:t>2017 Summary of Major Modifications and Explanatory Notes</w:t>
                        </w:r>
                        <w:r w:rsidR="002822FF">
                          <w:rPr>
                            <w:rStyle w:val="Strong"/>
                            <w:color w:val="0000FF"/>
                            <w:u w:val="single"/>
                          </w:rPr>
                          <w:fldChar w:fldCharType="end"/>
                        </w:r>
                        <w:r>
                          <w:t>. The List - which designates what substances and methods are prohibited both in- and out-of-competition, and which substances are banned in particular sports - was approved by the Executive Committee on 21 September and comes into force on 1 January 2017.</w:t>
                        </w:r>
                        <w:r>
                          <w:br/>
                          <w:t> </w:t>
                        </w:r>
                        <w:r>
                          <w:br/>
                          <w:t>“WADA is pleased to publish the 2017 Prohibited List, which is one of five International Standards that are mandatory for all</w:t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 w:rsidR="002822FF">
                          <w:fldChar w:fldCharType="begin"/>
                        </w:r>
                        <w:r w:rsidR="002822FF">
                          <w:instrText xml:space="preserve"> HYPERLINK "http://communications.wada-ama.org/app/crm/marke</w:instrText>
                        </w:r>
                        <w:r w:rsidR="002822FF">
                          <w:instrText xml:space="preserve">ting/campaignlistener.nl?__lstr=__cl&amp;c=3519679&amp;__h=a531e61c3722534dea65&amp;__r=762862&amp;eou=aHR0cHM6Ly93d3cud2FkYS1hbWEub3JnL2VuL2NvZGUtc2lnbmF0b3JpZXM*&amp;_od=aHR0cHM6Ly9mb3Jtcy5uYTEubmV0c3VpdGUuY29t" \t "_blank" </w:instrText>
                        </w:r>
                        <w:r w:rsidR="002822FF">
                          <w:fldChar w:fldCharType="separate"/>
                        </w:r>
                        <w:r>
                          <w:rPr>
                            <w:rStyle w:val="Hyperlink"/>
                          </w:rPr>
                          <w:t>signatories</w:t>
                        </w:r>
                        <w:r w:rsidR="002822FF">
                          <w:rPr>
                            <w:rStyle w:val="Hyperlink"/>
                          </w:rPr>
                          <w:fldChar w:fldCharType="end"/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of the</w:t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 w:rsidR="002822FF">
                          <w:fldChar w:fldCharType="begin"/>
                        </w:r>
                        <w:r w:rsidR="002822FF">
                          <w:instrText xml:space="preserve"> HYPERLINK "http://communica</w:instrText>
                        </w:r>
                        <w:r w:rsidR="002822FF">
                          <w:instrText>tions.wada-ama.org/app/crm/marketing/campaignlistener.nl?__lstr=__cl&amp;c=3519679&amp;__h=a531e61c3722534dea65&amp;__r=762862&amp;eou=aHR0cHM6Ly93YWRhLW1haW4tcHJvZC5zMy5hbWF6b25hd3MuY29tL3Jlc291cmNlcy9maWxlcy93YWRhLTIwMTUtd29ybGQtYW50aS1kb3BpbmctY29kZS5wZGY*&amp;_od=aHR0cHM6</w:instrText>
                        </w:r>
                        <w:r w:rsidR="002822FF">
                          <w:instrText xml:space="preserve">Ly9mb3Jtcy5uYTEubmV0c3VpdGUuY29t" \t "_blank" </w:instrText>
                        </w:r>
                        <w:r w:rsidR="002822FF">
                          <w:fldChar w:fldCharType="separate"/>
                        </w:r>
                        <w:r>
                          <w:rPr>
                            <w:rStyle w:val="Hyperlink"/>
                          </w:rPr>
                          <w:t>World Anti-Doping Code (Code)</w:t>
                        </w:r>
                        <w:r w:rsidR="002822FF">
                          <w:rPr>
                            <w:rStyle w:val="Hyperlink"/>
                          </w:rPr>
                          <w:fldChar w:fldCharType="end"/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 xml:space="preserve">to follow,” said WADA President, Sir Craig </w:t>
                        </w:r>
                        <w:proofErr w:type="spellStart"/>
                        <w:r>
                          <w:t>Reedie</w:t>
                        </w:r>
                        <w:proofErr w:type="spellEnd"/>
                        <w:r>
                          <w:t xml:space="preserve">.  “All athletes around the world are held to these standards and there can be no tolerance for people who intentionally break the rules,” </w:t>
                        </w:r>
                        <w:proofErr w:type="spellStart"/>
                        <w:r>
                          <w:t>Reedie</w:t>
                        </w:r>
                        <w:proofErr w:type="spellEnd"/>
                        <w:r>
                          <w:t xml:space="preserve"> continued.  “Updated annually, the List is released three months ahead of taking effect so that all stakeholders – in particular athletes and their entourage -- have ample time to familiarize themselves with the List and its modifications,” he said.</w:t>
                        </w:r>
                        <w:r>
                          <w:br/>
                          <w:t> </w:t>
                        </w:r>
                        <w:r>
                          <w:br/>
                          <w:t xml:space="preserve">“The Prohibited List follows a very extensive stakeholder review process over the course of nine months,” said Director General, Olivier </w:t>
                        </w:r>
                        <w:proofErr w:type="spellStart"/>
                        <w:r>
                          <w:t>Niggli</w:t>
                        </w:r>
                        <w:proofErr w:type="spellEnd"/>
                        <w:r>
                          <w:t xml:space="preserve">.  “In reviewing the List, experts examine such sources as: scientific and medical research; trends; and, intelligence gathered from law enforcement and pharmaceutical companies in order to stay ahead of those that wish to cheat,” </w:t>
                        </w:r>
                        <w:proofErr w:type="spellStart"/>
                        <w:r>
                          <w:t>Niggli</w:t>
                        </w:r>
                        <w:proofErr w:type="spellEnd"/>
                        <w:r>
                          <w:t xml:space="preserve"> continued. “It is vital that all athletes take the necessary time to consult the List; and that, they contact their respective anti-doping organizations (ADOs) if they have any doubts as to the status of a substance or method,” said </w:t>
                        </w:r>
                        <w:proofErr w:type="spellStart"/>
                        <w:r>
                          <w:t>Niggli</w:t>
                        </w:r>
                        <w:proofErr w:type="spellEnd"/>
                        <w:r>
                          <w:t>.</w:t>
                        </w:r>
                        <w:r>
                          <w:br/>
                          <w:t> </w:t>
                        </w:r>
                        <w:r>
                          <w:br/>
                          <w:t>The List’s annual revision process is led by WADA, beginning with an initial meeting in January and concluding with the publication of the List by 1 October. This is an extensive nine-month consultation process which includes gathering information, circulating a draft list, stakeholder submissions, committee recommendations and the approval of the List by WADA’s Executive Committee during its September meeting.</w:t>
                        </w:r>
                        <w:r>
                          <w:br/>
                          <w:t> </w:t>
                        </w:r>
                        <w:r>
                          <w:br/>
                          <w:t>It should be noted that, for athletes who have a legitimate medical reason for using a prohibited substance or method that is on the List, they can be accommodated via the</w:t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 w:rsidR="002822FF">
                          <w:fldChar w:fldCharType="begin"/>
                        </w:r>
                        <w:r w:rsidR="002822FF">
                          <w:instrText xml:space="preserve"> HYPERLINK "http://communications.wada-ama.org/app/cr</w:instrText>
                        </w:r>
                        <w:r w:rsidR="002822FF">
                          <w:instrText>m/marketing/campaignlistener.nl?__lstr=__cl&amp;c=3519679&amp;__h=a531e61c3722534dea65&amp;__r=762862&amp;eou=aHR0cHM6Ly93YWRhLW1haW4tcHJvZC5zMy5hbWF6b25hd3MuY29tL3Jlc291cmNlcy9maWxlcy93YWRhLTIwMTYtaXN0dWUtZmluYWwtZW5fMC5wZGY*&amp;_od=aHR0cHM6Ly9mb3Jtcy5uYTEubmV0c3VpdGUuY29t"</w:instrText>
                        </w:r>
                        <w:r w:rsidR="002822FF">
                          <w:instrText xml:space="preserve"> \t "_blank" </w:instrText>
                        </w:r>
                        <w:r w:rsidR="002822FF">
                          <w:fldChar w:fldCharType="separate"/>
                        </w:r>
                        <w:r>
                          <w:rPr>
                            <w:rStyle w:val="Hyperlink"/>
                          </w:rPr>
                          <w:t>International Standard for Therapeutic Use Exemptions (ISTUE)</w:t>
                        </w:r>
                        <w:r w:rsidR="002822FF">
                          <w:rPr>
                            <w:rStyle w:val="Hyperlink"/>
                          </w:rPr>
                          <w:fldChar w:fldCharType="end"/>
                        </w:r>
                        <w:r>
                          <w:t>, which has overwhelming acceptance from athletes, physicians and anti-doping stakeholders worldwide.</w:t>
                        </w:r>
                        <w:r>
                          <w:br/>
                          <w:t> </w:t>
                        </w:r>
                        <w:r>
                          <w:br/>
                          <w:t>To view the changes made to the 2017 Prohibited List, please see the</w:t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hyperlink r:id="rId7" w:history="1">
                          <w:r>
                            <w:rPr>
                              <w:rStyle w:val="Hyperlink"/>
                              <w:b/>
                              <w:bCs/>
                            </w:rPr>
                            <w:t>2017 Summary of Major Modifications and Explanatory Notes</w:t>
                          </w:r>
                        </w:hyperlink>
                        <w:r>
                          <w:rPr>
                            <w:rStyle w:val="Strong"/>
                          </w:rPr>
                          <w:t>.</w:t>
                        </w:r>
                        <w:r>
                          <w:br/>
                        </w:r>
                        <w:r>
                          <w:lastRenderedPageBreak/>
                          <w:t> </w:t>
                        </w:r>
                        <w:r>
                          <w:br/>
                        </w:r>
                        <w:r>
                          <w:rPr>
                            <w:rStyle w:val="Strong"/>
                          </w:rPr>
                          <w:t>Languages and Formats</w:t>
                        </w:r>
                        <w:r>
                          <w:br/>
                          <w:t> </w:t>
                        </w:r>
                        <w:r>
                          <w:br/>
                          <w:t>As of today, the </w:t>
                        </w:r>
                        <w:r w:rsidR="002822FF">
                          <w:fldChar w:fldCharType="begin"/>
                        </w:r>
                        <w:r w:rsidR="002822FF">
                          <w:instrText xml:space="preserve"> HYPERLINK "http://communications.wada-ama.org/app/crm/marketing/campaignlistener.nl?__lstr=__cl&amp;c=3519679&amp;__h=a531e61c3722534dea65&amp;__r=762862&amp;eou=aHR0cHM6Ly93YWRhLW1haW4tcHJvZC5zMy5hbWF6b25hd3MuY29tL3Jlc291cmNlcy9maWxlcy8yMDE2LTA5LTI5Xy1fd2FkYV9wcm9oaWJpd</w:instrText>
                        </w:r>
                        <w:r w:rsidR="002822FF">
                          <w:instrText xml:space="preserve">GVkX2xpc3RfMjAxN19lbmdfZmluYWwucGRm&amp;_od=aHR0cHM6Ly9mb3Jtcy5uYTEubmV0c3VpdGUuY29t" \t "_blank" </w:instrText>
                        </w:r>
                        <w:r w:rsidR="002822FF">
                          <w:fldChar w:fldCharType="separate"/>
                        </w:r>
                        <w:r>
                          <w:rPr>
                            <w:rStyle w:val="Hyperlink"/>
                          </w:rPr>
                          <w:t>2017 Prohibited List</w:t>
                        </w:r>
                        <w:r w:rsidR="002822FF">
                          <w:rPr>
                            <w:rStyle w:val="Hyperlink"/>
                          </w:rPr>
                          <w:fldChar w:fldCharType="end"/>
                        </w:r>
                        <w:r>
                          <w:t>, the </w:t>
                        </w:r>
                        <w:r w:rsidR="002822FF">
                          <w:fldChar w:fldCharType="begin"/>
                        </w:r>
                        <w:r w:rsidR="002822FF">
                          <w:instrText xml:space="preserve"> HYPERLINK "http://communications.wada-ama.org/app/crm/marketing/campaignlistener.nl?__lstr=__cl&amp;c=3519679&amp;__h=a531e61c3722534dea65&amp;_</w:instrText>
                        </w:r>
                        <w:r w:rsidR="002822FF">
                          <w:instrText xml:space="preserve">_r=762862&amp;eou=aHR0cHM6Ly93YWRhLW1haW4tcHJvZC5zMy5hbWF6b25hd3MuY29tL3Jlc291cmNlcy9maWxlcy8yMDE2LTA5LTI5Xy1fd2FkYV9zdW1tYXJ5X29mX21vZGlmaWNhdGlvbnNfZW5nX2ZpbmFsLnBkZg**&amp;_od=aHR0cHM6Ly9mb3Jtcy5uYTEubmV0c3VpdGUuY29t" \t "_blank" </w:instrText>
                        </w:r>
                        <w:r w:rsidR="002822FF">
                          <w:fldChar w:fldCharType="separate"/>
                        </w:r>
                        <w:r>
                          <w:rPr>
                            <w:rStyle w:val="Hyperlink"/>
                          </w:rPr>
                          <w:t>Summary of Modifications</w:t>
                        </w:r>
                        <w:r w:rsidR="002822FF">
                          <w:rPr>
                            <w:rStyle w:val="Hyperlink"/>
                          </w:rPr>
                          <w:fldChar w:fldCharType="end"/>
                        </w:r>
                        <w:r>
                          <w:t>, and the</w:t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hyperlink r:id="rId8" w:history="1">
                          <w:r>
                            <w:rPr>
                              <w:rStyle w:val="Hyperlink"/>
                            </w:rPr>
                            <w:t>2017 Monitoring Program</w:t>
                          </w:r>
                        </w:hyperlink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are available for download on WADA’s website in English. The French and Spanish will follow shortly. </w:t>
                        </w:r>
                        <w:r>
                          <w:br/>
                        </w:r>
                        <w:r>
                          <w:br/>
                          <w:t>Stakeholders wishing to translate the List into other languages are kindly asked to signal their interest at </w:t>
                        </w:r>
                        <w:hyperlink r:id="rId9" w:history="1">
                          <w:r>
                            <w:rPr>
                              <w:rStyle w:val="Hyperlink"/>
                            </w:rPr>
                            <w:t>info@wada-ama.org</w:t>
                          </w:r>
                        </w:hyperlink>
                        <w:r>
                          <w:t>, by 23 October.</w:t>
                        </w:r>
                        <w:r>
                          <w:br/>
                          <w:t> </w:t>
                        </w:r>
                        <w:r>
                          <w:br/>
                          <w:t>As has been the case in past years, the List will be made available as an </w:t>
                        </w:r>
                        <w:hyperlink r:id="rId10" w:history="1">
                          <w:r>
                            <w:rPr>
                              <w:rStyle w:val="Hyperlink"/>
                            </w:rPr>
                            <w:t>iPhone app</w:t>
                          </w:r>
                        </w:hyperlink>
                        <w:r>
                          <w:t> and on other </w:t>
                        </w:r>
                        <w:hyperlink r:id="rId11" w:history="1">
                          <w:r>
                            <w:rPr>
                              <w:rStyle w:val="Hyperlink"/>
                            </w:rPr>
                            <w:t>mobile devices</w:t>
                          </w:r>
                        </w:hyperlink>
                        <w:r>
                          <w:t> effective 1 January 2017.</w:t>
                        </w:r>
                        <w:r>
                          <w:br/>
                          <w:t xml:space="preserve">  </w:t>
                        </w:r>
                      </w:p>
                      <w:p w:rsidR="007E38B3" w:rsidRDefault="007E38B3" w:rsidP="007E38B3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- ENDS - </w:t>
                        </w:r>
                        <w:r>
                          <w:br/>
                          <w:t> </w:t>
                        </w:r>
                      </w:p>
                    </w:tc>
                  </w:tr>
                </w:tbl>
                <w:p w:rsidR="007E38B3" w:rsidRDefault="007E38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E38B3" w:rsidRDefault="007E38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3B6D" w:rsidRDefault="002822FF"/>
    <w:sectPr w:rsidR="00E8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B3"/>
    <w:rsid w:val="002822FF"/>
    <w:rsid w:val="003B05D5"/>
    <w:rsid w:val="00700E38"/>
    <w:rsid w:val="007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B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7E38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8B3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E38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38B3"/>
  </w:style>
  <w:style w:type="character" w:styleId="Strong">
    <w:name w:val="Strong"/>
    <w:basedOn w:val="DefaultParagraphFont"/>
    <w:uiPriority w:val="22"/>
    <w:qFormat/>
    <w:rsid w:val="007E38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FF"/>
    <w:rPr>
      <w:rFonts w:ascii="Lucida Grande" w:hAnsi="Lucida Grande" w:cs="Times New Roman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B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7E38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8B3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E38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38B3"/>
  </w:style>
  <w:style w:type="character" w:styleId="Strong">
    <w:name w:val="Strong"/>
    <w:basedOn w:val="DefaultParagraphFont"/>
    <w:uiPriority w:val="22"/>
    <w:qFormat/>
    <w:rsid w:val="007E38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FF"/>
    <w:rPr>
      <w:rFonts w:ascii="Lucida Grande" w:hAnsi="Lucida Grande" w:cs="Times New Roman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mmunications.wada-ama.org/app/crm/marketing/campaignlistener.nl?__lstr=__cl&amp;c=3519679&amp;__h=a531e61c3722534dea65&amp;__r=762862&amp;eou=aHR0cDovL2xpc3Qud2FkYS1hbWEub3JnLw**&amp;_od=aHR0cHM6Ly9mb3Jtcy5uYTEubmV0c3VpdGUuY29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communications.wada-ama.org/app/crm/marketing/campaignlistener.nl?__lstr=__cl&amp;c=3519679&amp;__h=a531e61c3722534dea65&amp;__r=762862&amp;eou=aHR0cHM6Ly93YWRhLW1haW4tcHJvZC5zMy5hbWF6b25hd3MuY29tL3Jlc291cmNlcy9maWxlcy8yMDE2LTA5LTI5Xy1fd2FkYV9zdW1tYXJ5X29mX21vZGlmaWNhdGlvbnNfZW5nX2ZpbmFsLnBkZg**&amp;_od=aHR0cHM6Ly9mb3Jtcy5uYTEubmV0c3VpdGUuY29t" TargetMode="External"/><Relationship Id="rId8" Type="http://schemas.openxmlformats.org/officeDocument/2006/relationships/hyperlink" Target="http://communications.wada-ama.org/app/crm/marketing/campaignlistener.nl?__lstr=__cl&amp;c=3519679&amp;__h=a531e61c3722534dea65&amp;__r=762862&amp;eou=aHR0cHM6Ly93YWRhLW1haW4tcHJvZC5zMy5hbWF6b25hd3MuY29tL3Jlc291cmNlcy9maWxlcy8yMDE2LTA5LTI5Xy1fd2FkYV9tb25pdG9yaW5nX3Byb2dyYW1fZW5nX2ZpbmFsLnBkZg**&amp;_od=aHR0cHM6Ly9mb3Jtcy5uYTEubmV0c3VpdGUuY29t" TargetMode="External"/><Relationship Id="rId9" Type="http://schemas.openxmlformats.org/officeDocument/2006/relationships/hyperlink" Target="mailto:info@wada-ama.org" TargetMode="External"/><Relationship Id="rId10" Type="http://schemas.openxmlformats.org/officeDocument/2006/relationships/hyperlink" Target="http://communications.wada-ama.org/app/crm/marketing/campaignlistener.nl?__lstr=__cl&amp;c=3519679&amp;__h=a531e61c3722534dea65&amp;__r=762862&amp;eou=aHR0cHM6Ly9pdHVuZXMuYXBwbGUuY29tL3VzL2FwcC93YWRhLXByb2hpYml0ZWQtbGlzdC0yMDE0L2lkNDA4MDU3OTUwP210PTg*&amp;_od=aHR0cHM6Ly9mb3Jtcy5uYTEubmV0c3VpdGUuY29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dc:description/>
  <cp:lastModifiedBy>Cathy Potter</cp:lastModifiedBy>
  <cp:revision>2</cp:revision>
  <cp:lastPrinted>2016-10-06T02:18:00Z</cp:lastPrinted>
  <dcterms:created xsi:type="dcterms:W3CDTF">2016-10-10T23:20:00Z</dcterms:created>
  <dcterms:modified xsi:type="dcterms:W3CDTF">2016-10-10T23:20:00Z</dcterms:modified>
</cp:coreProperties>
</file>